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Hubpay go-live evidence pack</w:t>
      </w:r>
    </w:p>
    <w:p>
      <w:r>
        <w:rPr>
          <w:i/>
        </w:rPr>
        <w:t>Accepting payments (collections) integration</w:t>
      </w:r>
    </w:p>
    <w:p>
      <w:pPr>
        <w:pStyle w:val="Heading1"/>
      </w:pPr>
      <w:r>
        <w:t>How to use this form</w:t>
      </w:r>
    </w:p>
    <w:p>
      <w:r>
        <w:t>1. Work through the items below in order. They match the go-live checklist at docs.hubpay.io (Guides &gt; Accepting payments &gt; Go-live checklist).</w:t>
      </w:r>
    </w:p>
    <w:p>
      <w:r>
        <w:t>2. Part 1: each item explains the check and the proof to send. Paste the proof directly into the Your proof box. Where an item asks for a copy of a response, paste the whole API response or webhook event as text - you do not need to pick out specific fields. Items 1-3 apply to every integration; only the crypto and mobile items offer N/A.</w:t>
      </w:r>
    </w:p>
    <w:p>
      <w:r>
        <w:t>Additional evidence is welcome but not required. Anything that shows the behaviour more clearly helps the review go faster - for example screenshots of your logs or admin screens, extra webhook payloads, or short recordings. Attach it to the item it belongs to.</w:t>
      </w:r>
    </w:p>
    <w:p>
      <w:r>
        <w:t>3. Part 2: for each confirmation, click one box to tick it - Yes, or N/A if it does not apply.</w:t>
      </w:r>
    </w:p>
    <w:p>
      <w:r>
        <w:t>4. Send the completed document to your Hubpay implementation manager, or email it to engineering@hubpay.ae.</w:t>
      </w:r>
    </w:p>
    <w:p>
      <w:r>
        <w:rPr>
          <w:b/>
        </w:rPr>
        <w:t>Before sending, hide or blur API keys, signing secrets and personal data in all screenshots and responses.</w:t>
      </w:r>
    </w:p>
    <w:p>
      <w:pPr>
        <w:pStyle w:val="Heading1"/>
      </w:pPr>
      <w:r>
        <w:t>Part 1 - Evidence items</w:t>
      </w:r>
    </w:p>
    <w:p>
      <w:r>
        <w:rPr>
          <w:i/>
        </w:rPr>
        <w:t>The key rule: what the payer's browser shows is never proof of payment. The success page, and the hubpay:success event in an embedded integration, only mean the payer finished their steps. Delivery of goods or services must follow verified webhooks and API state.</w:t>
      </w:r>
    </w:p>
    <w:p>
      <w:pPr>
        <w:pStyle w:val="Heading2"/>
      </w:pPr>
      <w:r>
        <w:t>1 - Create a payment request</w:t>
      </w:r>
    </w:p>
    <w:p>
      <w:r>
        <w:t>You can create a payment request with the correct executionMode and payer details. This also proves your authentication works.</w:t>
      </w:r>
    </w:p>
    <w:p>
      <w:r>
        <w:rPr>
          <w:b/>
        </w:rPr>
        <w:t xml:space="preserve">Proof to send: </w:t>
      </w:r>
      <w:r>
        <w:t>A copy of the request and response of one payment-request creation.</w:t>
      </w:r>
    </w:p>
    <w:tbl>
      <w:tblPr>
        <w:tblStyle w:val="TableGrid"/>
        <w:tblW w:type="auto" w:w="0"/>
        <w:tblLook w:firstColumn="1" w:firstRow="1" w:lastColumn="0" w:lastRow="0" w:noHBand="0" w:noVBand="1" w:val="04A0"/>
      </w:tblPr>
      <w:tblGrid>
        <w:gridCol w:w="4320"/>
        <w:gridCol w:w="4320"/>
      </w:tblGrid>
      <w:tr>
        <w:tc>
          <w:tcPr>
            <w:tcW w:type="dxa" w:w="2448"/>
          </w:tcPr>
          <w:p>
            <w:r>
              <w:rPr>
                <w:b/>
              </w:rPr>
              <w:t>Status</w:t>
            </w:r>
          </w:p>
        </w:tc>
        <w:tc>
          <w:tcPr>
            <w:tcW w:type="dxa" w:w="7344"/>
          </w:tcPr>
          <w:p>
            <w:sdt>
              <w:sdtPr>
                <w:id w:val="10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Done</w:t>
            </w:r>
          </w:p>
        </w:tc>
      </w:tr>
      <w:tr>
        <w:tc>
          <w:tcPr>
            <w:tcW w:type="dxa" w:w="2448"/>
          </w:tcPr>
          <w:p>
            <w:r>
              <w:rPr>
                <w:b/>
              </w:rPr>
              <w:t>Your proof</w:t>
            </w:r>
          </w:p>
        </w:tc>
        <w:tc>
          <w:tcPr>
            <w:tcW w:type="dxa" w:w="7344"/>
          </w:tcPr>
          <w:p>
            <w:r>
              <w:br/>
              <w:br/>
            </w:r>
          </w:p>
        </w:tc>
      </w:tr>
    </w:tbl>
    <w:p>
      <w:pPr>
        <w:pStyle w:val="Heading2"/>
      </w:pPr>
      <w:r>
        <w:t>2 - A full payment works end to end</w:t>
      </w:r>
    </w:p>
    <w:p>
      <w:r>
        <w:t>The payment.completed event arrives, you fetch the payment request from the API, check the status it returns, and mark the order paid exactly once.</w:t>
      </w:r>
    </w:p>
    <w:p>
      <w:r>
        <w:rPr>
          <w:b/>
        </w:rPr>
        <w:t xml:space="preserve">Proof to send: </w:t>
      </w:r>
      <w:r>
        <w:t>A copy of the payment.completed event from one simulated full payment, and the payment request your system fetched after it.</w:t>
      </w:r>
    </w:p>
    <w:tbl>
      <w:tblPr>
        <w:tblStyle w:val="TableGrid"/>
        <w:tblW w:type="auto" w:w="0"/>
        <w:tblLook w:firstColumn="1" w:firstRow="1" w:lastColumn="0" w:lastRow="0" w:noHBand="0" w:noVBand="1" w:val="04A0"/>
      </w:tblPr>
      <w:tblGrid>
        <w:gridCol w:w="4320"/>
        <w:gridCol w:w="4320"/>
      </w:tblGrid>
      <w:tr>
        <w:tc>
          <w:tcPr>
            <w:tcW w:type="dxa" w:w="2448"/>
          </w:tcPr>
          <w:p>
            <w:r>
              <w:rPr>
                <w:b/>
              </w:rPr>
              <w:t>Status</w:t>
            </w:r>
          </w:p>
        </w:tc>
        <w:tc>
          <w:tcPr>
            <w:tcW w:type="dxa" w:w="7344"/>
          </w:tcPr>
          <w:p>
            <w:sdt>
              <w:sdtPr>
                <w:id w:val="10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Done</w:t>
            </w:r>
          </w:p>
        </w:tc>
      </w:tr>
      <w:tr>
        <w:tc>
          <w:tcPr>
            <w:tcW w:type="dxa" w:w="2448"/>
          </w:tcPr>
          <w:p>
            <w:r>
              <w:rPr>
                <w:b/>
              </w:rPr>
              <w:t>Your proof</w:t>
            </w:r>
          </w:p>
        </w:tc>
        <w:tc>
          <w:tcPr>
            <w:tcW w:type="dxa" w:w="7344"/>
          </w:tcPr>
          <w:p>
            <w:r>
              <w:br/>
              <w:br/>
            </w:r>
          </w:p>
        </w:tc>
      </w:tr>
    </w:tbl>
    <w:p>
      <w:pPr>
        <w:pStyle w:val="Heading2"/>
      </w:pPr>
      <w:r>
        <w:t>3 - Underpayment is handled</w:t>
      </w:r>
    </w:p>
    <w:p>
      <w:r>
        <w:t>If the payer pays less than the full amount, the request becomes PART_PAID and you do not deliver in full.</w:t>
      </w:r>
    </w:p>
    <w:p>
      <w:r>
        <w:rPr>
          <w:b/>
        </w:rPr>
        <w:t xml:space="preserve">Proof to send: </w:t>
      </w:r>
      <w:r>
        <w:t>A copy of the payment request fetched after one simulated underpayment, showing PART_PAID.</w:t>
      </w:r>
    </w:p>
    <w:tbl>
      <w:tblPr>
        <w:tblStyle w:val="TableGrid"/>
        <w:tblW w:type="auto" w:w="0"/>
        <w:tblLook w:firstColumn="1" w:firstRow="1" w:lastColumn="0" w:lastRow="0" w:noHBand="0" w:noVBand="1" w:val="04A0"/>
      </w:tblPr>
      <w:tblGrid>
        <w:gridCol w:w="4320"/>
        <w:gridCol w:w="4320"/>
      </w:tblGrid>
      <w:tr>
        <w:tc>
          <w:tcPr>
            <w:tcW w:type="dxa" w:w="2448"/>
          </w:tcPr>
          <w:p>
            <w:r>
              <w:rPr>
                <w:b/>
              </w:rPr>
              <w:t>Status</w:t>
            </w:r>
          </w:p>
        </w:tc>
        <w:tc>
          <w:tcPr>
            <w:tcW w:type="dxa" w:w="7344"/>
          </w:tcPr>
          <w:p>
            <w:sdt>
              <w:sdtPr>
                <w:id w:val="10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Done</w:t>
            </w:r>
          </w:p>
        </w:tc>
      </w:tr>
      <w:tr>
        <w:tc>
          <w:tcPr>
            <w:tcW w:type="dxa" w:w="2448"/>
          </w:tcPr>
          <w:p>
            <w:r>
              <w:rPr>
                <w:b/>
              </w:rPr>
              <w:t>Your proof</w:t>
            </w:r>
          </w:p>
        </w:tc>
        <w:tc>
          <w:tcPr>
            <w:tcW w:type="dxa" w:w="7344"/>
          </w:tcPr>
          <w:p>
            <w:r>
              <w:br/>
              <w:br/>
            </w:r>
          </w:p>
        </w:tc>
      </w:tr>
    </w:tbl>
    <w:p>
      <w:pPr>
        <w:pStyle w:val="Heading2"/>
      </w:pPr>
      <w:r>
        <w:t>4 - Crypto confirmation uses all three checks (crypto only)</w:t>
      </w:r>
    </w:p>
    <w:p>
      <w:r>
        <w:t>A crypto payment is confirmed only when all three are true: the event is v1.collection.payment_request.payment.completed, its signature is valid, and the payment status from the API is COMPLETE. payment.received, payment_request.paid and status RECEIVED are never treated as final. Write N/A if you do not accept crypto.</w:t>
      </w:r>
    </w:p>
    <w:p>
      <w:r>
        <w:rPr>
          <w:b/>
        </w:rPr>
        <w:t xml:space="preserve">Proof to send: </w:t>
      </w:r>
      <w:r>
        <w:t>Copies of the events you received from one simulated crypto payment, and one sentence confirming the order was marked paid only after payment.completed with status COMPLETE.</w:t>
      </w:r>
    </w:p>
    <w:tbl>
      <w:tblPr>
        <w:tblStyle w:val="TableGrid"/>
        <w:tblW w:type="auto" w:w="0"/>
        <w:tblLook w:firstColumn="1" w:firstRow="1" w:lastColumn="0" w:lastRow="0" w:noHBand="0" w:noVBand="1" w:val="04A0"/>
      </w:tblPr>
      <w:tblGrid>
        <w:gridCol w:w="4320"/>
        <w:gridCol w:w="4320"/>
      </w:tblGrid>
      <w:tr>
        <w:tc>
          <w:tcPr>
            <w:tcW w:type="dxa" w:w="2448"/>
          </w:tcPr>
          <w:p>
            <w:r>
              <w:rPr>
                <w:b/>
              </w:rPr>
              <w:t>Status</w:t>
            </w:r>
          </w:p>
        </w:tc>
        <w:tc>
          <w:tcPr>
            <w:tcW w:type="dxa" w:w="7344"/>
          </w:tcPr>
          <w:p>
            <w:sdt>
              <w:sdtPr>
                <w:id w:val="10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Done</w:t>
            </w:r>
            <w:r>
              <w:t xml:space="preserve">        </w:t>
            </w:r>
            <w:sdt>
              <w:sdtPr>
                <w:id w:val="10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w:t>
            </w:r>
          </w:p>
        </w:tc>
      </w:tr>
      <w:tr>
        <w:tc>
          <w:tcPr>
            <w:tcW w:type="dxa" w:w="2448"/>
          </w:tcPr>
          <w:p>
            <w:r>
              <w:rPr>
                <w:b/>
              </w:rPr>
              <w:t>Your proof</w:t>
            </w:r>
          </w:p>
        </w:tc>
        <w:tc>
          <w:tcPr>
            <w:tcW w:type="dxa" w:w="7344"/>
          </w:tcPr>
          <w:p>
            <w:r>
              <w:br/>
              <w:br/>
            </w:r>
          </w:p>
        </w:tc>
      </w:tr>
    </w:tbl>
    <w:p>
      <w:pPr>
        <w:pStyle w:val="Heading2"/>
      </w:pPr>
      <w:r>
        <w:t>5 - Tested on a real phone (mobile apps with crypto payments only)</w:t>
      </w:r>
    </w:p>
    <w:p>
      <w:r>
        <w:t>The payment page works inside your app on a real phone, including a crypto wallet payment opening the wallet app. Write N/A if payers do not use your mobile app, or if your integration does not offer crypto.</w:t>
      </w:r>
    </w:p>
    <w:p>
      <w:r>
        <w:rPr>
          <w:b/>
        </w:rPr>
        <w:t xml:space="preserve">Proof to send: </w:t>
      </w:r>
      <w:r>
        <w:t>One or two sentences confirming the test and which wallet you used. Screenshots or a screen recording are welcome as additional evidence.</w:t>
      </w:r>
    </w:p>
    <w:tbl>
      <w:tblPr>
        <w:tblStyle w:val="TableGrid"/>
        <w:tblW w:type="auto" w:w="0"/>
        <w:tblLook w:firstColumn="1" w:firstRow="1" w:lastColumn="0" w:lastRow="0" w:noHBand="0" w:noVBand="1" w:val="04A0"/>
      </w:tblPr>
      <w:tblGrid>
        <w:gridCol w:w="4320"/>
        <w:gridCol w:w="4320"/>
      </w:tblGrid>
      <w:tr>
        <w:tc>
          <w:tcPr>
            <w:tcW w:type="dxa" w:w="2448"/>
          </w:tcPr>
          <w:p>
            <w:r>
              <w:rPr>
                <w:b/>
              </w:rPr>
              <w:t>Status</w:t>
            </w:r>
          </w:p>
        </w:tc>
        <w:tc>
          <w:tcPr>
            <w:tcW w:type="dxa" w:w="7344"/>
          </w:tcPr>
          <w:p>
            <w:sdt>
              <w:sdtPr>
                <w:id w:val="10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Done</w:t>
            </w:r>
            <w:r>
              <w:t xml:space="preserve">        </w:t>
            </w:r>
            <w:sdt>
              <w:sdtPr>
                <w:id w:val="10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w:t>
            </w:r>
          </w:p>
        </w:tc>
      </w:tr>
      <w:tr>
        <w:tc>
          <w:tcPr>
            <w:tcW w:type="dxa" w:w="2448"/>
          </w:tcPr>
          <w:p>
            <w:r>
              <w:rPr>
                <w:b/>
              </w:rPr>
              <w:t>Your proof</w:t>
            </w:r>
          </w:p>
        </w:tc>
        <w:tc>
          <w:tcPr>
            <w:tcW w:type="dxa" w:w="7344"/>
          </w:tcPr>
          <w:p>
            <w:r>
              <w:br/>
              <w:br/>
            </w:r>
          </w:p>
        </w:tc>
      </w:tr>
    </w:tbl>
    <w:p>
      <w:pPr>
        <w:pStyle w:val="Heading1"/>
      </w:pPr>
      <w:r>
        <w:t>Part 2 - Confirmations</w:t>
      </w:r>
    </w:p>
    <w:p>
      <w:r>
        <w:t>Mark the Yes box for each statement to confirm it. Only the statements marked with a scope (hosted payment page, embedded, or mobile apps) offer N/A; every other statement applies to every integration. No evidence is needed - these are covered by the declaration below.</w:t>
      </w:r>
    </w:p>
    <w:tbl>
      <w:tblPr>
        <w:tblStyle w:val="TableGrid"/>
        <w:tblW w:type="auto" w:w="0"/>
        <w:tblLook w:firstColumn="1" w:firstRow="1" w:lastColumn="0" w:lastRow="0" w:noHBand="0" w:noVBand="1" w:val="04A0"/>
      </w:tblPr>
      <w:tblGrid>
        <w:gridCol w:w="2880"/>
        <w:gridCol w:w="2880"/>
        <w:gridCol w:w="2880"/>
      </w:tblGrid>
      <w:tr>
        <w:tc>
          <w:tcPr>
            <w:tcW w:type="dxa" w:w="7776"/>
          </w:tcPr>
          <w:p>
            <w:r>
              <w:rPr>
                <w:b/>
              </w:rPr>
              <w:t>Confirmation</w:t>
            </w:r>
          </w:p>
        </w:tc>
        <w:tc>
          <w:tcPr>
            <w:tcW w:type="dxa" w:w="1008"/>
          </w:tcPr>
          <w:p>
            <w:r>
              <w:rPr>
                <w:b/>
              </w:rPr>
              <w:t>Yes</w:t>
            </w:r>
          </w:p>
        </w:tc>
        <w:tc>
          <w:tcPr>
            <w:tcW w:type="dxa" w:w="1008"/>
          </w:tcPr>
          <w:p>
            <w:r>
              <w:rPr>
                <w:b/>
              </w:rPr>
              <w:t>N/A</w:t>
            </w:r>
          </w:p>
        </w:tc>
      </w:tr>
      <w:tr>
        <w:tc>
          <w:tcPr>
            <w:tcW w:type="dxa" w:w="7776"/>
          </w:tcPr>
          <w:p>
            <w:r>
              <w:t>Nothing is delivered, invoiced or marked as paid when the payer finishes the checkout (your success page, or the hubpay:success event). Delivery only happens after the checks in evidence item 2.</w:t>
            </w:r>
          </w:p>
        </w:tc>
        <w:tc>
          <w:tcPr>
            <w:tcW w:type="dxa" w:w="1008"/>
          </w:tcPr>
          <w:p>
            <w:sdt>
              <w:sdtPr>
                <w:id w:val="100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We verify the signature of every webhook against the raw request body, and events with a bad signature are rejected.</w:t>
            </w:r>
          </w:p>
        </w:tc>
        <w:tc>
          <w:tcPr>
            <w:tcW w:type="dxa" w:w="1008"/>
          </w:tcPr>
          <w:p>
            <w:sdt>
              <w:sdtPr>
                <w:id w:val="100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If the same event arrives twice, the action happens only once - we deduplicate by event ID.</w:t>
            </w:r>
          </w:p>
        </w:tc>
        <w:tc>
          <w:tcPr>
            <w:tcW w:type="dxa" w:w="1008"/>
          </w:tcPr>
          <w:p>
            <w:sdt>
              <w:sdtPr>
                <w:id w:val="101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Our API key and webhook signing secret are stored on our server only, in a secret manager - never in websites, mobile apps, code repositories or logs.</w:t>
            </w:r>
          </w:p>
        </w:tc>
        <w:tc>
          <w:tcPr>
            <w:tcW w:type="dxa" w:w="1008"/>
          </w:tcPr>
          <w:p>
            <w:sdt>
              <w:sdtPr>
                <w:id w:val="101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Our webhook endpoint answers quickly with a 2xx status; slow work happens in the background, and no handler depends on events arriving in a particular order.</w:t>
            </w:r>
          </w:p>
        </w:tc>
        <w:tc>
          <w:tcPr>
            <w:tcW w:type="dxa" w:w="1008"/>
          </w:tcPr>
          <w:p>
            <w:sdt>
              <w:sdtPr>
                <w:id w:val="101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Our team finds out when webhook deliveries fail - through monitoring, alerts, or a regular job that checks payment statuses through the API.</w:t>
            </w:r>
          </w:p>
        </w:tc>
        <w:tc>
          <w:tcPr>
            <w:tcW w:type="dxa" w:w="1008"/>
          </w:tcPr>
          <w:p>
            <w:sdt>
              <w:sdtPr>
                <w:id w:val="101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An expired payment session is refreshed through the API, or a new link is sent - the payer is never left on a dead page.</w:t>
            </w:r>
          </w:p>
        </w:tc>
        <w:tc>
          <w:tcPr>
            <w:tcW w:type="dxa" w:w="1008"/>
          </w:tcPr>
          <w:p>
            <w:sdt>
              <w:sdtPr>
                <w:id w:val="101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r>
        <w:tc>
          <w:tcPr>
            <w:tcW w:type="dxa" w:w="7776"/>
          </w:tcPr>
          <w:p>
            <w:r>
              <w:t>(Hosted payment page only) successRedirectUrl and cancelRedirectUrl are set, and both pages exist. Payment links shared by email, SMS or CRM do not need return pages.</w:t>
            </w:r>
          </w:p>
        </w:tc>
        <w:tc>
          <w:tcPr>
            <w:tcW w:type="dxa" w:w="1008"/>
          </w:tcPr>
          <w:p>
            <w:sdt>
              <w:sdtPr>
                <w:id w:val="101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sdt>
              <w:sdtPr>
                <w:id w:val="1016"/>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type="dxa" w:w="7776"/>
          </w:tcPr>
          <w:p>
            <w:r>
              <w:t>(Embedded only) The iframe URL keeps the returned paymentUrl and adds embedded=true and origin; our message listener checks the event origin and the sending window.</w:t>
            </w:r>
          </w:p>
        </w:tc>
        <w:tc>
          <w:tcPr>
            <w:tcW w:type="dxa" w:w="1008"/>
          </w:tcPr>
          <w:p>
            <w:sdt>
              <w:sdtPr>
                <w:id w:val="101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sdt>
              <w:sdtPr>
                <w:id w:val="101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type="dxa" w:w="7776"/>
          </w:tcPr>
          <w:p>
            <w:r>
              <w:t>(Mobile apps with crypto payments only) The payment page opens in a browser sheet, or our WebView forwards non-http links to the phone, or - for Salesforce Mobile Publisher - the wallet schemes are allowlisted.</w:t>
            </w:r>
          </w:p>
        </w:tc>
        <w:tc>
          <w:tcPr>
            <w:tcW w:type="dxa" w:w="1008"/>
          </w:tcPr>
          <w:p>
            <w:sdt>
              <w:sdtPr>
                <w:id w:val="101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sdt>
              <w:sdtPr>
                <w:id w:val="10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type="dxa" w:w="7776"/>
          </w:tcPr>
          <w:p>
            <w:r>
              <w:t>We store the paymentRequestId and paymentId with our own order records, and our support team can look up a payment's state without a developer.</w:t>
            </w:r>
          </w:p>
        </w:tc>
        <w:tc>
          <w:tcPr>
            <w:tcW w:type="dxa" w:w="1008"/>
          </w:tcPr>
          <w:p>
            <w:sdt>
              <w:sdtPr>
                <w:id w:val="102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type="dxa" w:w="1008"/>
          </w:tcPr>
          <w:p/>
        </w:tc>
      </w:tr>
    </w:tbl>
    <w:p>
      <w:pPr>
        <w:pStyle w:val="Heading1"/>
      </w:pPr>
      <w:r>
        <w:t>Declaration</w:t>
      </w:r>
    </w:p>
    <w:p>
      <w:r>
        <w:t>We confirm that this evidence reflects the integration that will run in production, that every confirmation ticked above is true, and that goods and services are only delivered after the checks in evidence item 2 pass.</w:t>
      </w:r>
    </w:p>
    <w:tbl>
      <w:tblPr>
        <w:tblStyle w:val="TableGrid"/>
        <w:tblW w:type="auto" w:w="0"/>
        <w:tblLook w:firstColumn="1" w:firstRow="1" w:lastColumn="0" w:lastRow="0" w:noHBand="0" w:noVBand="1" w:val="04A0"/>
      </w:tblPr>
      <w:tblGrid>
        <w:gridCol w:w="4320"/>
        <w:gridCol w:w="4320"/>
      </w:tblGrid>
      <w:tr>
        <w:tc>
          <w:tcPr>
            <w:tcW w:type="dxa" w:w="4320"/>
          </w:tcPr>
          <w:p>
            <w:r>
              <w:rPr>
                <w:b/>
              </w:rPr>
              <w:t>Company</w:t>
            </w:r>
          </w:p>
        </w:tc>
        <w:tc>
          <w:tcPr>
            <w:tcW w:type="dxa" w:w="4320"/>
          </w:tcPr>
          <w:p/>
        </w:tc>
      </w:tr>
      <w:tr>
        <w:tc>
          <w:tcPr>
            <w:tcW w:type="dxa" w:w="4320"/>
          </w:tcPr>
          <w:p>
            <w:r>
              <w:rPr>
                <w:b/>
              </w:rPr>
              <w:t>Integration name</w:t>
            </w:r>
          </w:p>
        </w:tc>
        <w:tc>
          <w:tcPr>
            <w:tcW w:type="dxa" w:w="4320"/>
          </w:tcPr>
          <w:p/>
        </w:tc>
      </w:tr>
      <w:tr>
        <w:tc>
          <w:tcPr>
            <w:tcW w:type="dxa" w:w="4320"/>
          </w:tcPr>
          <w:p>
            <w:r>
              <w:rPr>
                <w:b/>
              </w:rPr>
              <w:t>Technical contact (name and email)</w:t>
            </w:r>
          </w:p>
        </w:tc>
        <w:tc>
          <w:tcPr>
            <w:tcW w:type="dxa" w:w="4320"/>
          </w:tcPr>
          <w:p/>
        </w:tc>
      </w:tr>
      <w:tr>
        <w:tc>
          <w:tcPr>
            <w:tcW w:type="dxa" w:w="4320"/>
          </w:tcPr>
          <w:p>
            <w:r>
              <w:rPr>
                <w:b/>
              </w:rPr>
              <w:t>Date</w:t>
            </w:r>
          </w:p>
        </w:tc>
        <w:tc>
          <w:tcPr>
            <w:tcW w:type="dxa" w:w="4320"/>
          </w:tcP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